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41B03">
        <w:rPr>
          <w:rFonts w:ascii="Arial" w:hAnsi="Arial" w:cs="Arial"/>
          <w:b/>
        </w:rPr>
        <w:t>Lhotka u Radnic</w:t>
      </w:r>
    </w:p>
    <w:p w:rsidR="00541B03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41B03">
        <w:rPr>
          <w:rFonts w:ascii="Arial" w:hAnsi="Arial" w:cs="Arial"/>
          <w:b/>
        </w:rPr>
        <w:t>Lhotka u Radnic</w:t>
      </w:r>
      <w:r w:rsidR="00541B03" w:rsidRPr="002E0EAD">
        <w:rPr>
          <w:rFonts w:ascii="Arial" w:hAnsi="Arial" w:cs="Arial"/>
          <w:b/>
        </w:rPr>
        <w:t xml:space="preserve"> </w:t>
      </w:r>
    </w:p>
    <w:p w:rsidR="008D6906" w:rsidRPr="002E0EAD" w:rsidRDefault="008D6906" w:rsidP="00541B03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41B03">
        <w:rPr>
          <w:rFonts w:ascii="Arial" w:hAnsi="Arial" w:cs="Arial"/>
          <w:b/>
        </w:rPr>
        <w:t xml:space="preserve">Lhotka u Radnic č. 1/2022, </w:t>
      </w:r>
      <w:r w:rsidR="00541B03">
        <w:rPr>
          <w:rFonts w:ascii="Arial-BoldMT" w:hAnsi="Arial-BoldMT" w:cs="Arial-BoldMT"/>
          <w:b/>
          <w:bCs/>
        </w:rPr>
        <w:t xml:space="preserve">kterou se mění obecně závazná vyhláška obce </w:t>
      </w:r>
      <w:r w:rsidR="00541B03">
        <w:rPr>
          <w:rFonts w:ascii="Arial" w:hAnsi="Arial" w:cs="Arial"/>
          <w:b/>
        </w:rPr>
        <w:t xml:space="preserve">Lhotka u Radnic č. 3/2021, </w:t>
      </w: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541B03">
        <w:rPr>
          <w:rFonts w:ascii="Arial" w:hAnsi="Arial" w:cs="Arial"/>
          <w:b w:val="0"/>
          <w:sz w:val="22"/>
          <w:szCs w:val="22"/>
        </w:rPr>
        <w:t xml:space="preserve"> Lhotka u Radnic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73032C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73032C">
        <w:rPr>
          <w:rFonts w:ascii="Arial" w:hAnsi="Arial" w:cs="Arial"/>
          <w:b w:val="0"/>
          <w:sz w:val="22"/>
          <w:szCs w:val="22"/>
        </w:rPr>
        <w:t>7.2.</w:t>
      </w:r>
      <w:r w:rsidR="00541B03">
        <w:rPr>
          <w:rFonts w:ascii="Arial" w:hAnsi="Arial" w:cs="Arial"/>
          <w:b w:val="0"/>
          <w:sz w:val="22"/>
          <w:szCs w:val="22"/>
        </w:rPr>
        <w:t>2022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73032C">
        <w:rPr>
          <w:rFonts w:ascii="Arial" w:hAnsi="Arial" w:cs="Arial"/>
          <w:b w:val="0"/>
          <w:sz w:val="22"/>
          <w:szCs w:val="22"/>
        </w:rPr>
        <w:t>1/2022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541B03" w:rsidRDefault="00131160" w:rsidP="00B71306">
      <w:pPr>
        <w:pStyle w:val="Nzvylnk"/>
        <w:rPr>
          <w:rFonts w:ascii="Arial" w:hAnsi="Arial" w:cs="Arial"/>
        </w:rPr>
      </w:pPr>
      <w:r w:rsidRPr="00541B03">
        <w:rPr>
          <w:rFonts w:ascii="Arial" w:hAnsi="Arial" w:cs="Arial"/>
        </w:rPr>
        <w:t>Úvodní ustanovení</w:t>
      </w:r>
    </w:p>
    <w:p w:rsidR="00541B03" w:rsidRPr="00541B03" w:rsidRDefault="00541B03" w:rsidP="00541B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1B03">
        <w:rPr>
          <w:rFonts w:ascii="Arial" w:hAnsi="Arial" w:cs="Arial"/>
        </w:rPr>
        <w:t xml:space="preserve">Obecně závazná vyhláška obce </w:t>
      </w:r>
      <w:r>
        <w:rPr>
          <w:rFonts w:ascii="Arial" w:hAnsi="Arial" w:cs="Arial"/>
        </w:rPr>
        <w:t xml:space="preserve">Lhotka u Radnic </w:t>
      </w:r>
      <w:r w:rsidRPr="00541B0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</w:t>
      </w:r>
      <w:r w:rsidRPr="00541B03">
        <w:rPr>
          <w:rFonts w:ascii="Arial" w:hAnsi="Arial" w:cs="Arial"/>
        </w:rPr>
        <w:t>/20</w:t>
      </w:r>
      <w:r>
        <w:rPr>
          <w:rFonts w:ascii="Arial" w:hAnsi="Arial" w:cs="Arial"/>
        </w:rPr>
        <w:t>21,</w:t>
      </w:r>
      <w:r w:rsidRPr="00541B03">
        <w:rPr>
          <w:rFonts w:ascii="Arial" w:hAnsi="Arial" w:cs="Arial"/>
        </w:rPr>
        <w:t xml:space="preserve"> o místním poplatku za</w:t>
      </w:r>
      <w:r w:rsidR="00D1070D">
        <w:rPr>
          <w:rFonts w:ascii="Arial" w:hAnsi="Arial" w:cs="Arial"/>
        </w:rPr>
        <w:t> </w:t>
      </w:r>
      <w:r w:rsidRPr="00541B03">
        <w:rPr>
          <w:rFonts w:ascii="Arial" w:hAnsi="Arial" w:cs="Arial"/>
        </w:rPr>
        <w:t>odkládání komunálního odpadu z nemovité věci se mění takto:</w:t>
      </w:r>
    </w:p>
    <w:p w:rsidR="00541B03" w:rsidRDefault="00541B03" w:rsidP="00541B03">
      <w:pPr>
        <w:pStyle w:val="slalnk"/>
        <w:spacing w:before="0" w:after="0"/>
        <w:jc w:val="left"/>
        <w:rPr>
          <w:rFonts w:ascii="Arial" w:hAnsi="Arial" w:cs="Arial"/>
          <w:b w:val="0"/>
        </w:rPr>
      </w:pPr>
    </w:p>
    <w:p w:rsidR="00131160" w:rsidRPr="00D1070D" w:rsidRDefault="00541B03" w:rsidP="00541B03">
      <w:pPr>
        <w:pStyle w:val="slalnk"/>
        <w:spacing w:before="0" w:after="0"/>
        <w:jc w:val="left"/>
        <w:rPr>
          <w:rFonts w:ascii="Arial" w:hAnsi="Arial" w:cs="Arial"/>
        </w:rPr>
      </w:pPr>
      <w:r w:rsidRPr="00D1070D">
        <w:rPr>
          <w:rFonts w:ascii="Arial" w:hAnsi="Arial" w:cs="Arial"/>
        </w:rPr>
        <w:t>Čl. 4 odst. 1 se ruší a nahrazuje se tímto zněním:</w:t>
      </w:r>
    </w:p>
    <w:p w:rsidR="00541B03" w:rsidRPr="00C07C87" w:rsidRDefault="00C07C87" w:rsidP="00541B03">
      <w:pPr>
        <w:pStyle w:val="Nzvylnk"/>
        <w:spacing w:before="0" w:after="0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b w:val="0"/>
          <w:i/>
          <w:color w:val="000000"/>
          <w:szCs w:val="24"/>
        </w:rPr>
        <w:t>„</w:t>
      </w:r>
      <w:r w:rsidR="00541B03" w:rsidRPr="00C07C87">
        <w:rPr>
          <w:rFonts w:ascii="Arial" w:hAnsi="Arial" w:cs="Arial"/>
          <w:i/>
          <w:color w:val="000000"/>
          <w:szCs w:val="24"/>
        </w:rPr>
        <w:t>Čl. 4</w:t>
      </w:r>
    </w:p>
    <w:p w:rsidR="00541B03" w:rsidRPr="00C07C87" w:rsidRDefault="00541B03" w:rsidP="00541B03">
      <w:pPr>
        <w:pStyle w:val="Nzvylnk"/>
        <w:spacing w:before="0" w:after="0"/>
        <w:rPr>
          <w:rFonts w:ascii="Arial" w:hAnsi="Arial" w:cs="Arial"/>
          <w:i/>
          <w:color w:val="000000"/>
          <w:szCs w:val="24"/>
        </w:rPr>
      </w:pPr>
      <w:r w:rsidRPr="00C07C87">
        <w:rPr>
          <w:rFonts w:ascii="Arial" w:hAnsi="Arial" w:cs="Arial"/>
          <w:i/>
          <w:color w:val="000000"/>
          <w:szCs w:val="24"/>
        </w:rPr>
        <w:t>Ohlašovací povinnost</w:t>
      </w:r>
    </w:p>
    <w:p w:rsidR="00541B03" w:rsidRPr="00541B03" w:rsidRDefault="00541B03" w:rsidP="00541B03">
      <w:pPr>
        <w:numPr>
          <w:ilvl w:val="0"/>
          <w:numId w:val="11"/>
        </w:numPr>
        <w:jc w:val="both"/>
        <w:rPr>
          <w:rFonts w:ascii="Arial" w:hAnsi="Arial" w:cs="Arial"/>
          <w:i/>
          <w:color w:val="000000"/>
        </w:rPr>
      </w:pPr>
      <w:r w:rsidRPr="00541B03">
        <w:rPr>
          <w:rFonts w:ascii="Arial" w:hAnsi="Arial" w:cs="Arial"/>
          <w:i/>
          <w:color w:val="000000"/>
        </w:rPr>
        <w:t xml:space="preserve">Plátce poplatku je povinen podat správci poplatku ohlášení nejpozději do </w:t>
      </w:r>
      <w:proofErr w:type="gramStart"/>
      <w:r w:rsidRPr="00541B03">
        <w:rPr>
          <w:rFonts w:ascii="Arial" w:hAnsi="Arial" w:cs="Arial"/>
          <w:i/>
          <w:color w:val="000000"/>
        </w:rPr>
        <w:t>30  dnů</w:t>
      </w:r>
      <w:proofErr w:type="gramEnd"/>
      <w:r w:rsidRPr="00541B03">
        <w:rPr>
          <w:rFonts w:ascii="Arial" w:hAnsi="Arial" w:cs="Arial"/>
          <w:i/>
          <w:color w:val="000000"/>
        </w:rPr>
        <w:t xml:space="preserve"> ode dne, kdy nabyl postavení plátce poplatku. Pozbytí postavení plátce ohlásí plátce poplatku správci poplatku ve lhůtě 30 dnů.“.</w:t>
      </w:r>
    </w:p>
    <w:p w:rsidR="00541B03" w:rsidRPr="00D1070D" w:rsidRDefault="00541B03" w:rsidP="00B71306">
      <w:pPr>
        <w:pStyle w:val="Nzvylnk"/>
        <w:rPr>
          <w:rFonts w:ascii="Arial" w:hAnsi="Arial" w:cs="Arial"/>
        </w:rPr>
      </w:pPr>
    </w:p>
    <w:p w:rsidR="00C07C87" w:rsidRPr="00D1070D" w:rsidRDefault="00C07C87" w:rsidP="00C07C87">
      <w:pPr>
        <w:pStyle w:val="slalnk"/>
        <w:spacing w:before="0" w:after="0"/>
        <w:jc w:val="left"/>
        <w:rPr>
          <w:rFonts w:ascii="Arial" w:hAnsi="Arial" w:cs="Arial"/>
        </w:rPr>
      </w:pPr>
      <w:proofErr w:type="gramStart"/>
      <w:r w:rsidRPr="00D1070D">
        <w:rPr>
          <w:rFonts w:ascii="Arial" w:hAnsi="Arial" w:cs="Arial"/>
        </w:rPr>
        <w:t>Čl.  5 se</w:t>
      </w:r>
      <w:proofErr w:type="gramEnd"/>
      <w:r w:rsidRPr="00D1070D">
        <w:rPr>
          <w:rFonts w:ascii="Arial" w:hAnsi="Arial" w:cs="Arial"/>
        </w:rPr>
        <w:t xml:space="preserve"> ruší a nahrazuje se tímto zněním:</w:t>
      </w:r>
    </w:p>
    <w:p w:rsidR="00131160" w:rsidRPr="00C07C87" w:rsidRDefault="00C07C87" w:rsidP="00C07C87">
      <w:pPr>
        <w:pStyle w:val="slalnk"/>
        <w:spacing w:before="0" w:after="0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>„</w:t>
      </w:r>
      <w:r w:rsidR="00131160" w:rsidRPr="00C07C87">
        <w:rPr>
          <w:rFonts w:ascii="Arial" w:hAnsi="Arial" w:cs="Arial"/>
          <w:i/>
          <w:szCs w:val="24"/>
        </w:rPr>
        <w:t xml:space="preserve">Čl. </w:t>
      </w:r>
      <w:r w:rsidR="00814217" w:rsidRPr="00C07C87">
        <w:rPr>
          <w:rFonts w:ascii="Arial" w:hAnsi="Arial" w:cs="Arial"/>
          <w:i/>
          <w:szCs w:val="24"/>
        </w:rPr>
        <w:t>5</w:t>
      </w:r>
    </w:p>
    <w:p w:rsidR="00131160" w:rsidRPr="00C07C87" w:rsidRDefault="00772922" w:rsidP="00C07C87">
      <w:pPr>
        <w:pStyle w:val="Nzvylnk"/>
        <w:spacing w:before="0" w:after="0"/>
        <w:rPr>
          <w:rFonts w:ascii="Arial" w:hAnsi="Arial" w:cs="Arial"/>
          <w:i/>
          <w:szCs w:val="24"/>
        </w:rPr>
      </w:pPr>
      <w:r w:rsidRPr="00C07C87">
        <w:rPr>
          <w:rFonts w:ascii="Arial" w:hAnsi="Arial" w:cs="Arial"/>
          <w:i/>
          <w:szCs w:val="24"/>
        </w:rPr>
        <w:t xml:space="preserve">Základ </w:t>
      </w:r>
      <w:r w:rsidR="00131160" w:rsidRPr="00C07C87">
        <w:rPr>
          <w:rFonts w:ascii="Arial" w:hAnsi="Arial" w:cs="Arial"/>
          <w:i/>
          <w:szCs w:val="24"/>
        </w:rPr>
        <w:t>poplatku</w:t>
      </w:r>
      <w:r w:rsidR="00330165" w:rsidRPr="00C07C87">
        <w:rPr>
          <w:rStyle w:val="Znakapoznpodarou"/>
          <w:rFonts w:ascii="Arial" w:hAnsi="Arial" w:cs="Arial"/>
          <w:i/>
          <w:szCs w:val="24"/>
        </w:rPr>
        <w:footnoteReference w:id="1"/>
      </w:r>
    </w:p>
    <w:p w:rsidR="00772922" w:rsidRPr="00C07C87" w:rsidRDefault="00772922" w:rsidP="00C07C87">
      <w:pPr>
        <w:numPr>
          <w:ilvl w:val="0"/>
          <w:numId w:val="6"/>
        </w:numPr>
        <w:jc w:val="both"/>
        <w:rPr>
          <w:rFonts w:ascii="Arial" w:hAnsi="Arial" w:cs="Arial"/>
          <w:i/>
          <w:color w:val="0070C0"/>
        </w:rPr>
      </w:pPr>
      <w:r w:rsidRPr="00C07C87">
        <w:rPr>
          <w:rFonts w:ascii="Arial" w:hAnsi="Arial" w:cs="Arial"/>
          <w:i/>
        </w:rPr>
        <w:t xml:space="preserve">Základem </w:t>
      </w:r>
      <w:r w:rsidR="00E26EDC" w:rsidRPr="00C07C87">
        <w:rPr>
          <w:rFonts w:ascii="Arial" w:hAnsi="Arial" w:cs="Arial"/>
          <w:i/>
        </w:rPr>
        <w:t xml:space="preserve">dílčího </w:t>
      </w:r>
      <w:r w:rsidRPr="00C07C87">
        <w:rPr>
          <w:rFonts w:ascii="Arial" w:hAnsi="Arial" w:cs="Arial"/>
          <w:i/>
        </w:rPr>
        <w:t xml:space="preserve">poplatku je kapacita soustřeďovacích prostředků pro nemovitou věc na odpad za kalendářní měsíc v litrech připadající na poplatníka. </w:t>
      </w:r>
    </w:p>
    <w:p w:rsidR="00772922" w:rsidRPr="00C07C87" w:rsidRDefault="00772922" w:rsidP="00C07C87">
      <w:pPr>
        <w:pStyle w:val="Default"/>
        <w:numPr>
          <w:ilvl w:val="0"/>
          <w:numId w:val="6"/>
        </w:numPr>
        <w:jc w:val="both"/>
        <w:rPr>
          <w:i/>
        </w:rPr>
      </w:pPr>
      <w:r w:rsidRPr="00C07C87">
        <w:rPr>
          <w:i/>
        </w:rPr>
        <w:t>Objednanou kapacitou soustřeďovacích prostředků pro nemovitou věc na</w:t>
      </w:r>
      <w:r w:rsidR="00C07C87">
        <w:rPr>
          <w:i/>
        </w:rPr>
        <w:t> </w:t>
      </w:r>
      <w:r w:rsidRPr="00C07C87">
        <w:rPr>
          <w:i/>
        </w:rPr>
        <w:t xml:space="preserve">kalendářní měsíc připadající na poplatníka je </w:t>
      </w:r>
    </w:p>
    <w:p w:rsidR="00772922" w:rsidRPr="00C07C87" w:rsidRDefault="00772922" w:rsidP="00C07C87">
      <w:pPr>
        <w:pStyle w:val="Default"/>
        <w:ind w:left="567"/>
        <w:jc w:val="both"/>
        <w:rPr>
          <w:i/>
        </w:rPr>
      </w:pPr>
      <w:r w:rsidRPr="00C07C87">
        <w:rPr>
          <w:i/>
        </w:rPr>
        <w:t>a) podíl objednané kapacity soustřeďovacích prostředků pro tuto nemovitou věc na kalendářní měsíc a počtu fyzických osob, které v této nemovité věci mají bydliště na konci kalendářního měsíce,</w:t>
      </w:r>
      <w:r w:rsidR="001E58D2" w:rsidRPr="00C07C87">
        <w:rPr>
          <w:i/>
        </w:rPr>
        <w:t xml:space="preserve"> nebo</w:t>
      </w:r>
    </w:p>
    <w:p w:rsidR="00772922" w:rsidRPr="00C07C87" w:rsidRDefault="001E58D2" w:rsidP="001E58D2">
      <w:pPr>
        <w:pStyle w:val="Default"/>
        <w:ind w:left="567"/>
        <w:jc w:val="both"/>
        <w:rPr>
          <w:i/>
        </w:rPr>
      </w:pPr>
      <w:r w:rsidRPr="00C07C87">
        <w:rPr>
          <w:i/>
        </w:rPr>
        <w:t xml:space="preserve">b) </w:t>
      </w:r>
      <w:r w:rsidR="00772922" w:rsidRPr="00C07C87">
        <w:rPr>
          <w:i/>
        </w:rPr>
        <w:t xml:space="preserve">kapacita soustřeďovacích prostředků pro tuto nemovitou věc na </w:t>
      </w:r>
      <w:r w:rsidRPr="00C07C87">
        <w:rPr>
          <w:i/>
        </w:rPr>
        <w:t>kalendářní měsíc</w:t>
      </w:r>
      <w:r w:rsidR="00772922" w:rsidRPr="00C07C87">
        <w:rPr>
          <w:i/>
        </w:rPr>
        <w:t xml:space="preserve"> v případě, že v nemovité věci nemá bydliště žádná fyzická osoba. </w:t>
      </w:r>
    </w:p>
    <w:p w:rsidR="00E26EDC" w:rsidRPr="00C07C87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</w:rPr>
      </w:pPr>
      <w:r w:rsidRPr="00C07C87">
        <w:rPr>
          <w:rFonts w:ascii="Arial" w:hAnsi="Arial" w:cs="Arial"/>
          <w:i/>
        </w:rPr>
        <w:t xml:space="preserve">Minimální základ </w:t>
      </w:r>
      <w:r w:rsidR="00E26EDC" w:rsidRPr="00C07C87">
        <w:rPr>
          <w:rFonts w:ascii="Arial" w:hAnsi="Arial" w:cs="Arial"/>
          <w:i/>
        </w:rPr>
        <w:t xml:space="preserve">dílčího </w:t>
      </w:r>
      <w:r w:rsidRPr="00C07C87">
        <w:rPr>
          <w:rFonts w:ascii="Arial" w:hAnsi="Arial" w:cs="Arial"/>
          <w:i/>
        </w:rPr>
        <w:t xml:space="preserve">poplatku </w:t>
      </w:r>
      <w:r w:rsidR="00E26EDC" w:rsidRPr="00C07C87">
        <w:rPr>
          <w:rFonts w:ascii="Arial" w:hAnsi="Arial" w:cs="Arial"/>
          <w:i/>
        </w:rPr>
        <w:t xml:space="preserve">činí </w:t>
      </w:r>
      <w:r w:rsidR="00C07C87" w:rsidRPr="00C07C87">
        <w:rPr>
          <w:rFonts w:ascii="Arial" w:hAnsi="Arial" w:cs="Arial"/>
          <w:i/>
        </w:rPr>
        <w:t>60</w:t>
      </w:r>
      <w:r w:rsidR="00E26EDC" w:rsidRPr="00C07C87">
        <w:rPr>
          <w:rFonts w:ascii="Arial" w:hAnsi="Arial" w:cs="Arial"/>
          <w:i/>
        </w:rPr>
        <w:t xml:space="preserve"> l</w:t>
      </w:r>
      <w:r w:rsidR="00C07C87" w:rsidRPr="00C07C87">
        <w:rPr>
          <w:rFonts w:ascii="Arial" w:hAnsi="Arial" w:cs="Arial"/>
          <w:i/>
        </w:rPr>
        <w:t>itrů</w:t>
      </w:r>
      <w:r w:rsidR="00E26EDC" w:rsidRPr="00C07C87">
        <w:rPr>
          <w:rFonts w:ascii="Arial" w:hAnsi="Arial" w:cs="Arial"/>
          <w:i/>
        </w:rPr>
        <w:t>.</w:t>
      </w:r>
      <w:r w:rsidR="00C07C87" w:rsidRPr="00C07C87">
        <w:rPr>
          <w:rFonts w:ascii="Arial" w:hAnsi="Arial" w:cs="Arial"/>
          <w:i/>
        </w:rPr>
        <w:t>“.</w:t>
      </w:r>
      <w:r w:rsidR="00E26EDC" w:rsidRPr="00C07C87">
        <w:rPr>
          <w:rFonts w:ascii="Arial" w:hAnsi="Arial" w:cs="Arial"/>
          <w:i/>
        </w:rPr>
        <w:t xml:space="preserve"> </w:t>
      </w:r>
    </w:p>
    <w:p w:rsidR="00DA4795" w:rsidRDefault="00DA479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C07C87" w:rsidRPr="00D1070D" w:rsidRDefault="00C07C87" w:rsidP="00C07C87">
      <w:pPr>
        <w:pStyle w:val="slalnk"/>
        <w:spacing w:before="0" w:after="0"/>
        <w:jc w:val="left"/>
        <w:rPr>
          <w:rFonts w:ascii="Arial" w:hAnsi="Arial" w:cs="Arial"/>
        </w:rPr>
      </w:pPr>
      <w:proofErr w:type="gramStart"/>
      <w:r w:rsidRPr="00D1070D">
        <w:rPr>
          <w:rFonts w:ascii="Arial" w:hAnsi="Arial" w:cs="Arial"/>
        </w:rPr>
        <w:t>Čl.  8 se</w:t>
      </w:r>
      <w:proofErr w:type="gramEnd"/>
      <w:r w:rsidRPr="00D1070D">
        <w:rPr>
          <w:rFonts w:ascii="Arial" w:hAnsi="Arial" w:cs="Arial"/>
        </w:rPr>
        <w:t xml:space="preserve"> ruší a nahrazuje se tímto zněním:</w:t>
      </w:r>
    </w:p>
    <w:p w:rsidR="00C07C87" w:rsidRPr="0094663D" w:rsidRDefault="00C07C87" w:rsidP="00C07C8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 Unicode MS"/>
          <w:b/>
          <w:i/>
          <w:u w:color="000000"/>
          <w:bdr w:val="nil"/>
        </w:rPr>
      </w:pPr>
      <w:r w:rsidRPr="0094663D">
        <w:rPr>
          <w:rFonts w:ascii="Arial" w:eastAsia="Arial Unicode MS" w:hAnsi="Arial" w:cs="Arial Unicode MS"/>
          <w:b/>
          <w:i/>
          <w:u w:color="000000"/>
          <w:bdr w:val="nil"/>
        </w:rPr>
        <w:t>„</w:t>
      </w:r>
      <w:r w:rsidRPr="0094663D">
        <w:rPr>
          <w:rFonts w:ascii="Arial" w:eastAsia="Arial Unicode MS" w:hAnsi="Arial" w:cs="Arial"/>
          <w:b/>
          <w:i/>
          <w:u w:color="000000"/>
          <w:bdr w:val="nil"/>
        </w:rPr>
        <w:t xml:space="preserve">Čl. </w:t>
      </w:r>
      <w:r w:rsidR="00D1070D">
        <w:rPr>
          <w:rFonts w:ascii="Arial" w:eastAsia="Arial Unicode MS" w:hAnsi="Arial" w:cs="Arial"/>
          <w:b/>
          <w:i/>
          <w:u w:color="000000"/>
          <w:bdr w:val="nil"/>
        </w:rPr>
        <w:t>8</w:t>
      </w:r>
    </w:p>
    <w:p w:rsidR="00C07C87" w:rsidRPr="0094663D" w:rsidRDefault="00C07C87" w:rsidP="00C07C87">
      <w:pPr>
        <w:keepNext/>
        <w:keepLines/>
        <w:jc w:val="center"/>
        <w:rPr>
          <w:rFonts w:ascii="Arial" w:hAnsi="Arial" w:cs="Arial"/>
          <w:b/>
          <w:bCs/>
          <w:i/>
        </w:rPr>
      </w:pPr>
      <w:r w:rsidRPr="0094663D">
        <w:rPr>
          <w:rFonts w:ascii="Arial" w:hAnsi="Arial" w:cs="Arial"/>
          <w:b/>
          <w:bCs/>
          <w:i/>
        </w:rPr>
        <w:t>Splatnost poplatku</w:t>
      </w:r>
    </w:p>
    <w:p w:rsidR="00C07C87" w:rsidRPr="0094663D" w:rsidRDefault="00C07C87" w:rsidP="00C07C87">
      <w:pPr>
        <w:numPr>
          <w:ilvl w:val="0"/>
          <w:numId w:val="33"/>
        </w:numPr>
        <w:jc w:val="both"/>
        <w:rPr>
          <w:rFonts w:ascii="Arial" w:hAnsi="Arial" w:cs="Arial"/>
          <w:i/>
        </w:rPr>
      </w:pPr>
      <w:r w:rsidRPr="0094663D">
        <w:rPr>
          <w:rFonts w:ascii="Arial" w:hAnsi="Arial" w:cs="Arial"/>
          <w:i/>
        </w:rPr>
        <w:t>Plátce poplatku odvede vybraný poplatek správci poplatku ve dvou splátkách, a to:</w:t>
      </w:r>
    </w:p>
    <w:p w:rsidR="00C07C87" w:rsidRPr="0094663D" w:rsidRDefault="00C07C87" w:rsidP="00C07C87">
      <w:pPr>
        <w:jc w:val="both"/>
        <w:rPr>
          <w:rFonts w:ascii="Arial" w:hAnsi="Arial" w:cs="Arial"/>
          <w:i/>
        </w:rPr>
      </w:pPr>
      <w:r w:rsidRPr="0094663D">
        <w:rPr>
          <w:rFonts w:ascii="Arial" w:hAnsi="Arial" w:cs="Arial"/>
          <w:i/>
        </w:rPr>
        <w:t>termín splatnosti:                                                   období, za které je poplatek hrazen:</w:t>
      </w:r>
    </w:p>
    <w:p w:rsidR="00C07C87" w:rsidRPr="0094663D" w:rsidRDefault="00C07C87" w:rsidP="00C07C87">
      <w:pPr>
        <w:jc w:val="both"/>
        <w:rPr>
          <w:rFonts w:ascii="Arial" w:hAnsi="Arial" w:cs="Arial"/>
          <w:i/>
        </w:rPr>
      </w:pPr>
      <w:r w:rsidRPr="0094663D">
        <w:rPr>
          <w:rFonts w:ascii="Arial" w:hAnsi="Arial" w:cs="Arial"/>
          <w:i/>
        </w:rPr>
        <w:t>do 15. července kalendářního roku                             od 1. ledna do 30. června</w:t>
      </w:r>
    </w:p>
    <w:p w:rsidR="00C07C87" w:rsidRPr="0094663D" w:rsidRDefault="00C07C87" w:rsidP="00C07C87">
      <w:pPr>
        <w:jc w:val="both"/>
        <w:rPr>
          <w:rFonts w:ascii="Arial" w:hAnsi="Arial" w:cs="Arial"/>
          <w:i/>
        </w:rPr>
      </w:pPr>
      <w:r w:rsidRPr="0094663D">
        <w:rPr>
          <w:rFonts w:ascii="Arial" w:hAnsi="Arial" w:cs="Arial"/>
          <w:i/>
        </w:rPr>
        <w:lastRenderedPageBreak/>
        <w:t>do 15. ledna následujícího kalendářního roku            od 1. července do 31. prosince</w:t>
      </w:r>
    </w:p>
    <w:p w:rsidR="00C07C87" w:rsidRPr="0094663D" w:rsidRDefault="00C07C87" w:rsidP="00C07C87">
      <w:pPr>
        <w:numPr>
          <w:ilvl w:val="0"/>
          <w:numId w:val="33"/>
        </w:numPr>
        <w:jc w:val="both"/>
        <w:rPr>
          <w:rFonts w:ascii="Arial" w:hAnsi="Arial" w:cs="Arial"/>
          <w:i/>
        </w:rPr>
      </w:pPr>
      <w:r w:rsidRPr="0094663D">
        <w:rPr>
          <w:rFonts w:ascii="Arial" w:hAnsi="Arial" w:cs="Arial"/>
          <w:i/>
        </w:rPr>
        <w:t>Není-li plátce poplatku, zaplatí poplatek ve lhůtě podle odstavce 1 poplatník.“.</w:t>
      </w:r>
    </w:p>
    <w:p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D1070D" w:rsidRPr="00D1070D" w:rsidRDefault="00D1070D" w:rsidP="00D1070D">
      <w:pPr>
        <w:pStyle w:val="slalnk"/>
        <w:spacing w:before="0" w:after="0"/>
        <w:jc w:val="left"/>
        <w:rPr>
          <w:rFonts w:ascii="Arial" w:hAnsi="Arial" w:cs="Arial"/>
        </w:rPr>
      </w:pPr>
      <w:proofErr w:type="gramStart"/>
      <w:r w:rsidRPr="00D1070D">
        <w:rPr>
          <w:rFonts w:ascii="Arial" w:hAnsi="Arial" w:cs="Arial"/>
        </w:rPr>
        <w:t>Čl.  9 se</w:t>
      </w:r>
      <w:proofErr w:type="gramEnd"/>
      <w:r w:rsidRPr="00D1070D">
        <w:rPr>
          <w:rFonts w:ascii="Arial" w:hAnsi="Arial" w:cs="Arial"/>
        </w:rPr>
        <w:t xml:space="preserve"> ruší a nahrazuje se tímto zněním:</w:t>
      </w:r>
    </w:p>
    <w:p w:rsidR="00D1070D" w:rsidRPr="00823B90" w:rsidRDefault="00D1070D" w:rsidP="00D1070D">
      <w:pPr>
        <w:pStyle w:val="slalnk"/>
        <w:spacing w:before="0" w:after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„</w:t>
      </w:r>
      <w:r w:rsidRPr="00823B90">
        <w:rPr>
          <w:rFonts w:ascii="Arial" w:hAnsi="Arial" w:cs="Arial"/>
          <w:i/>
          <w:szCs w:val="24"/>
        </w:rPr>
        <w:t>Čl. 9</w:t>
      </w:r>
    </w:p>
    <w:p w:rsidR="00D1070D" w:rsidRPr="00823B90" w:rsidRDefault="00D1070D" w:rsidP="00D1070D">
      <w:pPr>
        <w:pStyle w:val="Nzvylnk"/>
        <w:spacing w:before="0" w:after="0"/>
        <w:rPr>
          <w:rFonts w:ascii="Arial" w:hAnsi="Arial" w:cs="Arial"/>
          <w:i/>
          <w:szCs w:val="24"/>
        </w:rPr>
      </w:pPr>
      <w:r w:rsidRPr="00823B90">
        <w:rPr>
          <w:rFonts w:ascii="Arial" w:hAnsi="Arial" w:cs="Arial"/>
          <w:i/>
          <w:szCs w:val="24"/>
        </w:rPr>
        <w:t>Navýšení poplatku</w:t>
      </w:r>
      <w:r w:rsidRPr="00823B90">
        <w:rPr>
          <w:i/>
          <w:szCs w:val="24"/>
        </w:rPr>
        <w:t xml:space="preserve"> </w:t>
      </w:r>
    </w:p>
    <w:p w:rsidR="00D1070D" w:rsidRPr="00823B90" w:rsidRDefault="00D1070D" w:rsidP="00D1070D">
      <w:pPr>
        <w:numPr>
          <w:ilvl w:val="0"/>
          <w:numId w:val="29"/>
        </w:numPr>
        <w:jc w:val="both"/>
        <w:rPr>
          <w:rFonts w:ascii="Arial" w:hAnsi="Arial" w:cs="Arial"/>
          <w:i/>
        </w:rPr>
      </w:pPr>
      <w:r w:rsidRPr="00823B90">
        <w:rPr>
          <w:rFonts w:ascii="Arial" w:hAnsi="Arial" w:cs="Arial"/>
          <w:i/>
        </w:rPr>
        <w:t xml:space="preserve">Nebudou-li poplatky zaplaceny poplatníkem včas nebo ve správné výši, vyměří mu správce poplatku poplatek platebním výměrem nebo hromadným předpisným seznamem. </w:t>
      </w:r>
      <w:r w:rsidRPr="00823B90">
        <w:rPr>
          <w:rStyle w:val="Znakapoznpodarou"/>
          <w:rFonts w:ascii="Arial" w:hAnsi="Arial" w:cs="Arial"/>
          <w:i/>
        </w:rPr>
        <w:footnoteReference w:id="2"/>
      </w:r>
    </w:p>
    <w:p w:rsidR="00D1070D" w:rsidRPr="00823B90" w:rsidRDefault="00D1070D" w:rsidP="00D1070D">
      <w:pPr>
        <w:numPr>
          <w:ilvl w:val="0"/>
          <w:numId w:val="29"/>
        </w:numPr>
        <w:jc w:val="both"/>
        <w:rPr>
          <w:rFonts w:ascii="Arial" w:hAnsi="Arial" w:cs="Arial"/>
          <w:i/>
        </w:rPr>
      </w:pPr>
      <w:r w:rsidRPr="00823B90">
        <w:rPr>
          <w:rFonts w:ascii="Arial" w:hAnsi="Arial" w:cs="Arial"/>
          <w:i/>
        </w:rPr>
        <w:t>Nebudou-li poplatky odvedeny plátcem poplatku včas nebo ve správné výši, vyměří mu správce poplatku poplatek platebním výměrem k přímé úhradě.</w:t>
      </w:r>
      <w:r w:rsidRPr="00823B90">
        <w:rPr>
          <w:rStyle w:val="Znakapoznpodarou"/>
          <w:rFonts w:ascii="Arial" w:hAnsi="Arial" w:cs="Arial"/>
          <w:i/>
        </w:rPr>
        <w:footnoteReference w:id="3"/>
      </w:r>
    </w:p>
    <w:p w:rsidR="00D1070D" w:rsidRPr="00823B90" w:rsidRDefault="00D1070D" w:rsidP="00D1070D">
      <w:pPr>
        <w:numPr>
          <w:ilvl w:val="0"/>
          <w:numId w:val="29"/>
        </w:numPr>
        <w:jc w:val="both"/>
        <w:rPr>
          <w:rFonts w:ascii="Arial" w:hAnsi="Arial" w:cs="Arial"/>
          <w:i/>
        </w:rPr>
      </w:pPr>
      <w:r w:rsidRPr="00823B90">
        <w:rPr>
          <w:rFonts w:ascii="Arial" w:hAnsi="Arial" w:cs="Arial"/>
          <w:i/>
        </w:rPr>
        <w:t>Včas nezaplacené nebo neodvedené poplatky nebo část těchto poplatků může správce poplatku zvýšit až na trojnásobek; toto zvýšení je příslušenstvím poplatku sledujícím jeho osud.</w:t>
      </w:r>
      <w:r w:rsidRPr="00823B90">
        <w:rPr>
          <w:rStyle w:val="Znakapoznpodarou"/>
          <w:rFonts w:ascii="Arial" w:hAnsi="Arial" w:cs="Arial"/>
          <w:i/>
        </w:rPr>
        <w:footnoteReference w:id="4"/>
      </w:r>
      <w:r>
        <w:rPr>
          <w:rFonts w:ascii="Arial" w:hAnsi="Arial" w:cs="Arial"/>
          <w:i/>
        </w:rPr>
        <w:t>“.</w:t>
      </w:r>
    </w:p>
    <w:p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</w:t>
      </w:r>
      <w:r w:rsidR="00D1070D">
        <w:rPr>
          <w:rFonts w:ascii="Arial" w:hAnsi="Arial" w:cs="Arial"/>
        </w:rPr>
        <w:t xml:space="preserve"> 2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5868BA" w:rsidRDefault="005868BA" w:rsidP="00D1070D">
      <w:pPr>
        <w:jc w:val="both"/>
        <w:rPr>
          <w:rFonts w:ascii="Arial" w:hAnsi="Arial" w:cs="Arial"/>
          <w:sz w:val="22"/>
          <w:szCs w:val="22"/>
        </w:rPr>
      </w:pPr>
      <w:r w:rsidRPr="005868BA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D1070D" w:rsidRDefault="00131160" w:rsidP="00D1070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D1070D" w:rsidRDefault="00D1070D" w:rsidP="00D107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..………… ……….……………….. </w:t>
      </w:r>
    </w:p>
    <w:p w:rsidR="00D1070D" w:rsidRDefault="00D1070D" w:rsidP="00D107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Jan Spurný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Pavel </w:t>
      </w:r>
      <w:proofErr w:type="spellStart"/>
      <w:r>
        <w:rPr>
          <w:color w:val="auto"/>
          <w:sz w:val="22"/>
          <w:szCs w:val="22"/>
        </w:rPr>
        <w:t>Lodl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D1070D" w:rsidRDefault="00D1070D" w:rsidP="00D107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místostarosta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starosta </w:t>
      </w:r>
    </w:p>
    <w:p w:rsidR="00A05EA6" w:rsidRPr="00EB7FA0" w:rsidRDefault="00A05EA6" w:rsidP="00D1070D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E3" w:rsidRDefault="008B58E3">
      <w:r>
        <w:separator/>
      </w:r>
    </w:p>
  </w:endnote>
  <w:endnote w:type="continuationSeparator" w:id="0">
    <w:p w:rsidR="008B58E3" w:rsidRDefault="008B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3032C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E3" w:rsidRDefault="008B58E3">
      <w:r>
        <w:separator/>
      </w:r>
    </w:p>
  </w:footnote>
  <w:footnote w:type="continuationSeparator" w:id="0">
    <w:p w:rsidR="008B58E3" w:rsidRDefault="008B58E3">
      <w:r>
        <w:continuationSeparator/>
      </w:r>
    </w:p>
  </w:footnote>
  <w:footnote w:id="1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2">
    <w:p w:rsidR="00D1070D" w:rsidRDefault="00D1070D" w:rsidP="00D107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D1070D" w:rsidRPr="00A04C8B" w:rsidRDefault="00D1070D" w:rsidP="00D1070D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4">
    <w:p w:rsidR="00D1070D" w:rsidRPr="00A04C8B" w:rsidRDefault="00D1070D" w:rsidP="00D1070D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6818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25445"/>
    <w:rsid w:val="0053211A"/>
    <w:rsid w:val="00532775"/>
    <w:rsid w:val="00541B03"/>
    <w:rsid w:val="00545904"/>
    <w:rsid w:val="00546241"/>
    <w:rsid w:val="00550C8C"/>
    <w:rsid w:val="005620CD"/>
    <w:rsid w:val="005736D7"/>
    <w:rsid w:val="00576D09"/>
    <w:rsid w:val="005867F5"/>
    <w:rsid w:val="005868BA"/>
    <w:rsid w:val="005B239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0512F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032C"/>
    <w:rsid w:val="00732B10"/>
    <w:rsid w:val="0073417D"/>
    <w:rsid w:val="007342A5"/>
    <w:rsid w:val="00743081"/>
    <w:rsid w:val="0074717E"/>
    <w:rsid w:val="00747D78"/>
    <w:rsid w:val="0076252F"/>
    <w:rsid w:val="0076572C"/>
    <w:rsid w:val="00772922"/>
    <w:rsid w:val="007746D8"/>
    <w:rsid w:val="00776E64"/>
    <w:rsid w:val="00777691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B58E3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73A2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07C87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1AD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070D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D0B62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D18F-090E-48AF-B9CE-163D1FD1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Hewlett-Packard Company</cp:lastModifiedBy>
  <cp:revision>3</cp:revision>
  <cp:lastPrinted>2015-10-16T08:54:00Z</cp:lastPrinted>
  <dcterms:created xsi:type="dcterms:W3CDTF">2022-02-21T17:05:00Z</dcterms:created>
  <dcterms:modified xsi:type="dcterms:W3CDTF">2022-02-21T17:06:00Z</dcterms:modified>
</cp:coreProperties>
</file>